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eastAsia="zh-CN"/>
        </w:rPr>
        <w:t>附件二：</w:t>
      </w:r>
    </w:p>
    <w:p>
      <w:pPr>
        <w:jc w:val="center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  <w:t>一般人才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需求岗位及要求</w:t>
      </w:r>
    </w:p>
    <w:bookmarkEnd w:id="0"/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</w:p>
    <w:tbl>
      <w:tblPr>
        <w:tblStyle w:val="3"/>
        <w:tblW w:w="0" w:type="auto"/>
        <w:tblInd w:w="-1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620"/>
        <w:gridCol w:w="1770"/>
        <w:gridCol w:w="915"/>
        <w:gridCol w:w="2085"/>
        <w:gridCol w:w="165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eastAsia="zh-CN"/>
              </w:rPr>
              <w:t>类别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eastAsia="zh-CN"/>
              </w:rPr>
              <w:t>专业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eastAsia="zh-CN"/>
              </w:rPr>
              <w:t>数量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eastAsia="zh-CN"/>
              </w:rPr>
              <w:t>学历要求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eastAsia="zh-CN"/>
              </w:rPr>
              <w:t>其他要求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eastAsia="zh-CN"/>
              </w:rPr>
              <w:t>上岗时间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620" w:type="dxa"/>
            <w:vMerge w:val="restart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财经类专职教师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会计学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eastAsia="zh-CN"/>
              </w:rPr>
              <w:t>全日制本科及以上</w:t>
            </w:r>
          </w:p>
        </w:tc>
        <w:tc>
          <w:tcPr>
            <w:tcW w:w="165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具有良好的语言表达能力和人际沟通能力，热爱教育事业，具有良好师德师风。持有相关专业上岗证、职业资格证、职称证者优先考虑。特别优秀的可相应放宽学历要求。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财务管理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硕士研究生以上</w:t>
            </w:r>
          </w:p>
        </w:tc>
        <w:tc>
          <w:tcPr>
            <w:tcW w:w="1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审计专业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eastAsia="zh-CN"/>
              </w:rPr>
              <w:t>全日制本科及以上</w:t>
            </w:r>
          </w:p>
        </w:tc>
        <w:tc>
          <w:tcPr>
            <w:tcW w:w="1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经济学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硕士研究生以上</w:t>
            </w:r>
          </w:p>
        </w:tc>
        <w:tc>
          <w:tcPr>
            <w:tcW w:w="1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62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计算机类专职教师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大数据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0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eastAsia="zh-CN"/>
              </w:rPr>
              <w:t>全日制本科及以上</w:t>
            </w:r>
          </w:p>
        </w:tc>
        <w:tc>
          <w:tcPr>
            <w:tcW w:w="1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网络工程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0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软件工程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0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硕士研究生及以上学历</w:t>
            </w:r>
          </w:p>
        </w:tc>
        <w:tc>
          <w:tcPr>
            <w:tcW w:w="1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计算机科学与技术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0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162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机电类专职教师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电子信息工程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085" w:type="dxa"/>
            <w:vMerge w:val="restart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硕士研究生及以上学历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机械工程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0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机电一体化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0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vertAlign w:val="baseline"/>
                <w:lang w:eastAsia="zh-CN"/>
              </w:rPr>
              <w:t>全日制本科及以上</w:t>
            </w:r>
          </w:p>
        </w:tc>
        <w:tc>
          <w:tcPr>
            <w:tcW w:w="1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电气工程及自动化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0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162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汽车类专职教师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车辆工程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0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全日制本科及以上学历</w:t>
            </w:r>
          </w:p>
        </w:tc>
        <w:tc>
          <w:tcPr>
            <w:tcW w:w="1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汽车制造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0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汽车维修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0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162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建筑类专职教师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建筑学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0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全日制本科及以上学历</w:t>
            </w:r>
          </w:p>
        </w:tc>
        <w:tc>
          <w:tcPr>
            <w:tcW w:w="1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建筑工程造价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0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162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通识课专职教师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语文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0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全日制本科及以上学历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普通话二甲以上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数学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0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英语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0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专业八级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思政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0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中共党员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22</w:t>
            </w: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音乐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0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65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艺术类教师原则上要求专业院校或者是其他院校研究生特殊人才。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23</w:t>
            </w: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舞蹈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0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美术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0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体育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0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6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26</w:t>
            </w: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心理健康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0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27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学前教育类专职教师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学前教育专业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全日制本科及以上学历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28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餐饮类专职教师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餐饮服务与管理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全日制本科及以上学历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29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管理类专职教师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行政管理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全日制本科及以上学历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航空类专职教师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航空服务与管理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全日制本科及以上学历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有工作经验者优先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31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辅导员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专业不限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全日制本科及以上学历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中共党员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2020年7月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合计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77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70833"/>
    <w:rsid w:val="71C7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uiPriority w:val="99"/>
    <w:pPr>
      <w:spacing w:before="100" w:beforeLines="0" w:beforeAutospacing="1" w:after="100" w:afterLines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2020-05-26T09:17:00Z</dcterms:created>
  <dc:creator>Korid</dc:creator>
  <cp:lastModifiedBy>Korid</cp:lastModifiedBy>
  <dcterms:modified xsi:type="dcterms:W3CDTF">2020-05-26T09:18:06Z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